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B1016" w14:textId="77777777" w:rsidR="008F621B" w:rsidRPr="008F621B" w:rsidRDefault="008F621B" w:rsidP="008F621B">
      <w:pPr>
        <w:jc w:val="right"/>
        <w:rPr>
          <w:color w:val="000000" w:themeColor="text1"/>
        </w:rPr>
      </w:pPr>
      <w:r w:rsidRPr="008F621B">
        <w:rPr>
          <w:color w:val="000000" w:themeColor="text1"/>
        </w:rPr>
        <w:t xml:space="preserve">109.04.17 </w:t>
      </w:r>
      <w:r w:rsidRPr="008F621B">
        <w:rPr>
          <w:color w:val="000000" w:themeColor="text1"/>
        </w:rPr>
        <w:t>版</w:t>
      </w:r>
    </w:p>
    <w:p w14:paraId="6A653550" w14:textId="27BDFE9C" w:rsidR="003A4633" w:rsidRPr="009956E0" w:rsidRDefault="006845C9" w:rsidP="006845C9">
      <w:pPr>
        <w:jc w:val="right"/>
        <w:rPr>
          <w:color w:val="FF0000"/>
        </w:rPr>
      </w:pPr>
      <w:r w:rsidRPr="009956E0">
        <w:rPr>
          <w:rFonts w:hint="eastAsia"/>
          <w:color w:val="FF0000"/>
        </w:rPr>
        <w:t>1</w:t>
      </w:r>
      <w:r w:rsidRPr="009956E0">
        <w:rPr>
          <w:color w:val="FF0000"/>
        </w:rPr>
        <w:t>10.06.09</w:t>
      </w:r>
      <w:r w:rsidRPr="009956E0">
        <w:rPr>
          <w:rFonts w:hint="eastAsia"/>
          <w:color w:val="FF0000"/>
        </w:rPr>
        <w:t>修訂版</w:t>
      </w:r>
    </w:p>
    <w:p w14:paraId="368CC095" w14:textId="50C4ED25" w:rsidR="006845C9" w:rsidRDefault="006845C9"/>
    <w:p w14:paraId="55F751DB" w14:textId="77777777" w:rsidR="006845C9" w:rsidRPr="009956E0" w:rsidRDefault="006845C9" w:rsidP="006845C9">
      <w:pPr>
        <w:widowControl/>
        <w:jc w:val="center"/>
        <w:rPr>
          <w:rFonts w:ascii="新細明體" w:eastAsia="新細明體" w:hAnsi="新細明體" w:cs="新細明體"/>
          <w:b/>
          <w:bCs/>
          <w:kern w:val="0"/>
          <w:sz w:val="32"/>
          <w:szCs w:val="32"/>
        </w:rPr>
      </w:pPr>
      <w:r w:rsidRPr="006845C9">
        <w:rPr>
          <w:rFonts w:ascii="新細明體" w:eastAsia="新細明體" w:hAnsi="新細明體" w:cs="新細明體"/>
          <w:b/>
          <w:bCs/>
          <w:kern w:val="0"/>
          <w:sz w:val="32"/>
          <w:szCs w:val="32"/>
        </w:rPr>
        <w:t>財團法人中小企業信用保證基金</w:t>
      </w:r>
    </w:p>
    <w:p w14:paraId="3B7CFF73" w14:textId="311E1FB1" w:rsidR="006845C9" w:rsidRDefault="006845C9" w:rsidP="00BE689F">
      <w:pPr>
        <w:widowControl/>
        <w:spacing w:beforeLines="100" w:before="360"/>
        <w:rPr>
          <w:rFonts w:ascii="新細明體" w:eastAsia="新細明體" w:hAnsi="新細明體" w:cs="新細明體"/>
          <w:kern w:val="0"/>
        </w:rPr>
      </w:pPr>
      <w:r w:rsidRPr="006845C9">
        <w:rPr>
          <w:rFonts w:ascii="新細明體" w:eastAsia="新細明體" w:hAnsi="新細明體" w:cs="新細明體"/>
          <w:kern w:val="0"/>
        </w:rPr>
        <w:t xml:space="preserve">「為協助受嚴重特殊傳染性肺炎疫情影響之中小企業取得營運所需資金，『企業保證融資總額度之上限』由 1.2 億元提高至 1.5 億元措施」 </w:t>
      </w:r>
    </w:p>
    <w:p w14:paraId="16D9F3BE" w14:textId="77777777" w:rsidR="006845C9" w:rsidRPr="009956E0" w:rsidRDefault="006845C9" w:rsidP="00BE689F">
      <w:pPr>
        <w:widowControl/>
        <w:spacing w:beforeLines="50" w:before="180"/>
        <w:rPr>
          <w:rFonts w:ascii="新細明體" w:eastAsia="新細明體" w:hAnsi="新細明體" w:cs="新細明體"/>
          <w:b/>
          <w:bCs/>
          <w:kern w:val="0"/>
        </w:rPr>
      </w:pPr>
      <w:r w:rsidRPr="006845C9">
        <w:rPr>
          <w:rFonts w:ascii="新細明體" w:eastAsia="新細明體" w:hAnsi="新細明體" w:cs="新細明體"/>
          <w:b/>
          <w:bCs/>
          <w:kern w:val="0"/>
        </w:rPr>
        <w:t>常見問答</w:t>
      </w:r>
    </w:p>
    <w:p w14:paraId="474B6765" w14:textId="77777777" w:rsidR="006845C9" w:rsidRPr="00BE689F" w:rsidRDefault="006845C9" w:rsidP="006845C9">
      <w:pPr>
        <w:widowControl/>
        <w:rPr>
          <w:rFonts w:ascii="新細明體" w:eastAsia="新細明體" w:hAnsi="新細明體" w:cs="新細明體"/>
          <w:b/>
          <w:bCs/>
          <w:color w:val="4472C4" w:themeColor="accent1"/>
          <w:kern w:val="0"/>
        </w:rPr>
      </w:pPr>
      <w:r w:rsidRPr="006845C9">
        <w:rPr>
          <w:rFonts w:ascii="Yu Gothic" w:eastAsia="新細明體" w:hAnsi="Yu Gothic" w:cs="Yu Gothic"/>
          <w:b/>
          <w:bCs/>
          <w:color w:val="4472C4" w:themeColor="accent1"/>
          <w:kern w:val="0"/>
        </w:rPr>
        <w:t>㇐</w:t>
      </w:r>
      <w:r w:rsidRPr="006845C9">
        <w:rPr>
          <w:rFonts w:ascii="新細明體" w:eastAsia="新細明體" w:hAnsi="新細明體" w:cs="新細明體"/>
          <w:b/>
          <w:bCs/>
          <w:color w:val="4472C4" w:themeColor="accent1"/>
          <w:kern w:val="0"/>
        </w:rPr>
        <w:t>、 有關本措施所述「受疫情影響」之定義為何？</w:t>
      </w:r>
    </w:p>
    <w:p w14:paraId="7389B15E" w14:textId="464E78E1" w:rsidR="006845C9" w:rsidRDefault="006845C9" w:rsidP="006845C9">
      <w:pPr>
        <w:widowControl/>
        <w:rPr>
          <w:rFonts w:ascii="新細明體" w:eastAsia="新細明體" w:hAnsi="新細明體" w:cs="新細明體"/>
          <w:kern w:val="0"/>
        </w:rPr>
      </w:pPr>
      <w:r w:rsidRPr="006845C9">
        <w:rPr>
          <w:rFonts w:ascii="新細明體" w:eastAsia="新細明體" w:hAnsi="新細明體" w:cs="新細明體"/>
          <w:kern w:val="0"/>
        </w:rPr>
        <w:t>答：請授信單位依總管理機構之有關規定辦理。</w:t>
      </w:r>
    </w:p>
    <w:p w14:paraId="4D97CC2D" w14:textId="77777777" w:rsidR="006845C9" w:rsidRPr="00BE689F" w:rsidRDefault="006845C9" w:rsidP="006845C9">
      <w:pPr>
        <w:widowControl/>
        <w:rPr>
          <w:rFonts w:ascii="新細明體" w:eastAsia="新細明體" w:hAnsi="新細明體" w:cs="新細明體"/>
          <w:b/>
          <w:bCs/>
          <w:color w:val="4472C4" w:themeColor="accent1"/>
          <w:kern w:val="0"/>
        </w:rPr>
      </w:pPr>
      <w:r w:rsidRPr="006845C9">
        <w:rPr>
          <w:rFonts w:ascii="新細明體" w:eastAsia="新細明體" w:hAnsi="新細明體" w:cs="新細明體"/>
          <w:b/>
          <w:bCs/>
          <w:color w:val="4472C4" w:themeColor="accent1"/>
          <w:kern w:val="0"/>
        </w:rPr>
        <w:t>二、 請問於間接保證申請書畫面該如何點選？</w:t>
      </w:r>
    </w:p>
    <w:p w14:paraId="39DDAC78" w14:textId="66D3274E" w:rsidR="006845C9" w:rsidRPr="006845C9" w:rsidRDefault="006845C9" w:rsidP="006845C9">
      <w:pPr>
        <w:widowControl/>
        <w:rPr>
          <w:rFonts w:ascii="新細明體" w:eastAsia="新細明體" w:hAnsi="新細明體" w:cs="新細明體"/>
          <w:kern w:val="0"/>
        </w:rPr>
      </w:pPr>
      <w:r w:rsidRPr="006845C9">
        <w:rPr>
          <w:rFonts w:ascii="新細明體" w:eastAsia="新細明體" w:hAnsi="新細明體" w:cs="新細明體"/>
          <w:kern w:val="0"/>
        </w:rPr>
        <w:t xml:space="preserve">答：請於本基金「信用保證網路作業系統→間接保證額度申請書→第 2 頁送保資格」之「受 嚴重特殊傳染性肺炎影響之企業」欄位核認（詳下圖）。 </w:t>
      </w:r>
    </w:p>
    <w:p w14:paraId="2DCA7631" w14:textId="20ED00D3" w:rsidR="006845C9" w:rsidRPr="006845C9" w:rsidRDefault="006845C9">
      <w:r>
        <w:rPr>
          <w:noProof/>
        </w:rPr>
        <w:drawing>
          <wp:inline distT="0" distB="0" distL="0" distR="0" wp14:anchorId="3F45653C" wp14:editId="32CE29CF">
            <wp:extent cx="5270500" cy="308102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4">
                      <a:extLst>
                        <a:ext uri="{28A0092B-C50C-407E-A947-70E740481C1C}">
                          <a14:useLocalDpi xmlns:a14="http://schemas.microsoft.com/office/drawing/2010/main" val="0"/>
                        </a:ext>
                      </a:extLst>
                    </a:blip>
                    <a:stretch>
                      <a:fillRect/>
                    </a:stretch>
                  </pic:blipFill>
                  <pic:spPr>
                    <a:xfrm>
                      <a:off x="0" y="0"/>
                      <a:ext cx="5270500" cy="3081020"/>
                    </a:xfrm>
                    <a:prstGeom prst="rect">
                      <a:avLst/>
                    </a:prstGeom>
                  </pic:spPr>
                </pic:pic>
              </a:graphicData>
            </a:graphic>
          </wp:inline>
        </w:drawing>
      </w:r>
    </w:p>
    <w:p w14:paraId="3BB2BA65" w14:textId="77777777" w:rsidR="006845C9" w:rsidRPr="00BE689F" w:rsidRDefault="006845C9" w:rsidP="006845C9">
      <w:pPr>
        <w:widowControl/>
        <w:rPr>
          <w:rFonts w:ascii="新細明體" w:eastAsia="新細明體" w:hAnsi="新細明體" w:cs="新細明體"/>
          <w:b/>
          <w:bCs/>
          <w:color w:val="4472C4" w:themeColor="accent1"/>
          <w:kern w:val="0"/>
        </w:rPr>
      </w:pPr>
      <w:r w:rsidRPr="006845C9">
        <w:rPr>
          <w:rFonts w:ascii="新細明體" w:eastAsia="新細明體" w:hAnsi="新細明體" w:cs="新細明體"/>
          <w:b/>
          <w:bCs/>
          <w:color w:val="4472C4" w:themeColor="accent1"/>
          <w:kern w:val="0"/>
        </w:rPr>
        <w:t>三、 本措施之辦理期間為何？</w:t>
      </w:r>
    </w:p>
    <w:p w14:paraId="318289CC" w14:textId="45B7F0A1" w:rsidR="006845C9" w:rsidRDefault="006845C9" w:rsidP="006845C9">
      <w:pPr>
        <w:widowControl/>
        <w:rPr>
          <w:rFonts w:ascii="新細明體" w:eastAsia="新細明體" w:hAnsi="新細明體" w:cs="新細明體"/>
          <w:kern w:val="0"/>
        </w:rPr>
      </w:pPr>
      <w:r w:rsidRPr="006845C9">
        <w:rPr>
          <w:rFonts w:ascii="新細明體" w:eastAsia="新細明體" w:hAnsi="新細明體" w:cs="新細明體"/>
          <w:kern w:val="0"/>
        </w:rPr>
        <w:t xml:space="preserve">答：自 109 年 3 月 24 日起，至 </w:t>
      </w:r>
      <w:r w:rsidRPr="006845C9">
        <w:rPr>
          <w:rFonts w:ascii="新細明體" w:eastAsia="新細明體" w:hAnsi="新細明體" w:cs="新細明體"/>
          <w:color w:val="FF0000"/>
          <w:kern w:val="0"/>
        </w:rPr>
        <w:t xml:space="preserve">110 年 </w:t>
      </w:r>
      <w:r w:rsidRPr="00FF6635">
        <w:rPr>
          <w:rFonts w:ascii="新細明體" w:eastAsia="新細明體" w:hAnsi="新細明體" w:cs="新細明體"/>
          <w:color w:val="FF0000"/>
          <w:kern w:val="0"/>
        </w:rPr>
        <w:t>12</w:t>
      </w:r>
      <w:r w:rsidRPr="006845C9">
        <w:rPr>
          <w:rFonts w:ascii="新細明體" w:eastAsia="新細明體" w:hAnsi="新細明體" w:cs="新細明體"/>
          <w:color w:val="FF0000"/>
          <w:kern w:val="0"/>
        </w:rPr>
        <w:t xml:space="preserve"> 月 3</w:t>
      </w:r>
      <w:r w:rsidRPr="00FF6635">
        <w:rPr>
          <w:rFonts w:ascii="新細明體" w:eastAsia="新細明體" w:hAnsi="新細明體" w:cs="新細明體"/>
          <w:color w:val="FF0000"/>
          <w:kern w:val="0"/>
        </w:rPr>
        <w:t>1</w:t>
      </w:r>
      <w:r w:rsidRPr="006845C9">
        <w:rPr>
          <w:rFonts w:ascii="新細明體" w:eastAsia="新細明體" w:hAnsi="新細明體" w:cs="新細明體"/>
          <w:color w:val="FF0000"/>
          <w:kern w:val="0"/>
        </w:rPr>
        <w:t xml:space="preserve"> 日</w:t>
      </w:r>
      <w:r w:rsidRPr="006845C9">
        <w:rPr>
          <w:rFonts w:ascii="新細明體" w:eastAsia="新細明體" w:hAnsi="新細明體" w:cs="新細明體"/>
          <w:kern w:val="0"/>
        </w:rPr>
        <w:t xml:space="preserve">止。 </w:t>
      </w:r>
    </w:p>
    <w:p w14:paraId="43B2072E" w14:textId="77777777" w:rsidR="009956E0" w:rsidRDefault="009956E0" w:rsidP="009956E0">
      <w:pPr>
        <w:widowControl/>
        <w:jc w:val="center"/>
        <w:rPr>
          <w:rFonts w:ascii="新細明體" w:eastAsia="新細明體" w:hAnsi="新細明體" w:cs="新細明體"/>
          <w:kern w:val="0"/>
        </w:rPr>
      </w:pPr>
    </w:p>
    <w:p w14:paraId="6A1699B7" w14:textId="2BC8715F" w:rsidR="006845C9" w:rsidRPr="00BE689F" w:rsidRDefault="006845C9" w:rsidP="009956E0">
      <w:pPr>
        <w:widowControl/>
        <w:jc w:val="center"/>
        <w:rPr>
          <w:rFonts w:ascii="新細明體" w:eastAsia="新細明體" w:hAnsi="新細明體" w:cs="新細明體"/>
          <w:color w:val="FF0000"/>
          <w:kern w:val="0"/>
        </w:rPr>
      </w:pPr>
      <w:r w:rsidRPr="006845C9">
        <w:rPr>
          <w:rFonts w:ascii="新細明體" w:eastAsia="新細明體" w:hAnsi="新細明體" w:cs="新細明體"/>
          <w:color w:val="FF0000"/>
          <w:kern w:val="0"/>
        </w:rPr>
        <w:t>(詳見</w:t>
      </w:r>
      <w:r w:rsidRPr="00BE689F">
        <w:rPr>
          <w:rFonts w:ascii="新細明體" w:eastAsia="新細明體" w:hAnsi="新細明體" w:cs="新細明體" w:hint="eastAsia"/>
          <w:color w:val="FF0000"/>
          <w:kern w:val="0"/>
        </w:rPr>
        <w:t>1</w:t>
      </w:r>
      <w:r w:rsidRPr="00BE689F">
        <w:rPr>
          <w:rFonts w:ascii="新細明體" w:eastAsia="新細明體" w:hAnsi="新細明體" w:cs="新細明體"/>
          <w:color w:val="FF0000"/>
          <w:kern w:val="0"/>
        </w:rPr>
        <w:t>10.06.09</w:t>
      </w:r>
      <w:r w:rsidRPr="006845C9">
        <w:rPr>
          <w:rFonts w:ascii="新細明體" w:eastAsia="新細明體" w:hAnsi="新細明體" w:cs="新細明體"/>
          <w:color w:val="FF0000"/>
          <w:kern w:val="0"/>
        </w:rPr>
        <w:t xml:space="preserve"> 保</w:t>
      </w:r>
      <w:r w:rsidRPr="00BE689F">
        <w:rPr>
          <w:rFonts w:ascii="新細明體" w:eastAsia="新細明體" w:hAnsi="新細明體" w:cs="新細明體" w:hint="eastAsia"/>
          <w:color w:val="FF0000"/>
          <w:kern w:val="0"/>
        </w:rPr>
        <w:t>證</w:t>
      </w:r>
      <w:r w:rsidRPr="006845C9">
        <w:rPr>
          <w:rFonts w:ascii="新細明體" w:eastAsia="新細明體" w:hAnsi="新細明體" w:cs="新細明體"/>
          <w:color w:val="FF0000"/>
          <w:kern w:val="0"/>
        </w:rPr>
        <w:t>規</w:t>
      </w:r>
      <w:r w:rsidRPr="00BE689F">
        <w:rPr>
          <w:rFonts w:ascii="新細明體" w:eastAsia="新細明體" w:hAnsi="新細明體" w:cs="新細明體" w:hint="eastAsia"/>
          <w:color w:val="FF0000"/>
          <w:kern w:val="0"/>
        </w:rPr>
        <w:t>劃</w:t>
      </w:r>
      <w:r w:rsidRPr="006845C9">
        <w:rPr>
          <w:rFonts w:ascii="Yu Gothic" w:eastAsia="新細明體" w:hAnsi="Yu Gothic" w:cs="Yu Gothic"/>
          <w:color w:val="FF0000"/>
          <w:kern w:val="0"/>
        </w:rPr>
        <w:t>㇐</w:t>
      </w:r>
      <w:r w:rsidRPr="006845C9">
        <w:rPr>
          <w:rFonts w:ascii="新細明體" w:eastAsia="新細明體" w:hAnsi="新細明體" w:cs="新細明體"/>
          <w:color w:val="FF0000"/>
          <w:kern w:val="0"/>
        </w:rPr>
        <w:t xml:space="preserve">字第 </w:t>
      </w:r>
      <w:r w:rsidRPr="00BE689F">
        <w:rPr>
          <w:rFonts w:ascii="新細明體" w:eastAsia="新細明體" w:hAnsi="新細明體" w:cs="新細明體" w:hint="eastAsia"/>
          <w:color w:val="FF0000"/>
          <w:kern w:val="0"/>
        </w:rPr>
        <w:t>1</w:t>
      </w:r>
      <w:r w:rsidRPr="00BE689F">
        <w:rPr>
          <w:rFonts w:ascii="新細明體" w:eastAsia="新細明體" w:hAnsi="新細明體" w:cs="新細明體"/>
          <w:color w:val="FF0000"/>
          <w:kern w:val="0"/>
        </w:rPr>
        <w:t>106906158</w:t>
      </w:r>
      <w:r w:rsidRPr="006845C9">
        <w:rPr>
          <w:rFonts w:ascii="新細明體" w:eastAsia="新細明體" w:hAnsi="新細明體" w:cs="新細明體"/>
          <w:color w:val="FF0000"/>
          <w:kern w:val="0"/>
        </w:rPr>
        <w:t xml:space="preserve"> 號函)</w:t>
      </w:r>
    </w:p>
    <w:sectPr w:rsidR="006845C9" w:rsidRPr="00BE689F" w:rsidSect="00EF4379">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C9"/>
    <w:rsid w:val="003716FE"/>
    <w:rsid w:val="003A4633"/>
    <w:rsid w:val="006845C9"/>
    <w:rsid w:val="008F621B"/>
    <w:rsid w:val="009956E0"/>
    <w:rsid w:val="00BE689F"/>
    <w:rsid w:val="00EF4379"/>
    <w:rsid w:val="00FF6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0AA7DEA"/>
  <w15:chartTrackingRefBased/>
  <w15:docId w15:val="{85C82D43-84CA-2741-9EBC-08458EA8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95922">
      <w:bodyDiv w:val="1"/>
      <w:marLeft w:val="0"/>
      <w:marRight w:val="0"/>
      <w:marTop w:val="0"/>
      <w:marBottom w:val="0"/>
      <w:divBdr>
        <w:top w:val="none" w:sz="0" w:space="0" w:color="auto"/>
        <w:left w:val="none" w:sz="0" w:space="0" w:color="auto"/>
        <w:bottom w:val="none" w:sz="0" w:space="0" w:color="auto"/>
        <w:right w:val="none" w:sz="0" w:space="0" w:color="auto"/>
      </w:divBdr>
    </w:div>
    <w:div w:id="1469473374">
      <w:bodyDiv w:val="1"/>
      <w:marLeft w:val="0"/>
      <w:marRight w:val="0"/>
      <w:marTop w:val="0"/>
      <w:marBottom w:val="0"/>
      <w:divBdr>
        <w:top w:val="none" w:sz="0" w:space="0" w:color="auto"/>
        <w:left w:val="none" w:sz="0" w:space="0" w:color="auto"/>
        <w:bottom w:val="none" w:sz="0" w:space="0" w:color="auto"/>
        <w:right w:val="none" w:sz="0" w:space="0" w:color="auto"/>
      </w:divBdr>
    </w:div>
    <w:div w:id="21296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2021-06-11T07:10:00Z</dcterms:created>
  <dcterms:modified xsi:type="dcterms:W3CDTF">2021-06-11T07:10:00Z</dcterms:modified>
</cp:coreProperties>
</file>